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0"/>
        <w:rPr>
          <w:rFonts w:cs="Calibri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"/>
        </w:rPr>
        <w:t>国家级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bidi="ar"/>
        </w:rPr>
        <w:t>绿色矿山建设评价指标</w:t>
      </w:r>
    </w:p>
    <w:tbl>
      <w:tblPr>
        <w:tblStyle w:val="3"/>
        <w:tblW w:w="15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4"/>
        <w:gridCol w:w="7104"/>
        <w:gridCol w:w="5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  <w:t>先决条件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要求</w:t>
            </w:r>
          </w:p>
        </w:tc>
        <w:tc>
          <w:tcPr>
            <w:tcW w:w="584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手续齐全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证照合法有效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《采矿许可证》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《安全生产许可证》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《营业执照》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证照合法有效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依法办理环评和排污许可手续，并依法完成竣工环保验收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584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               合格    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             不合格    □</w:t>
            </w:r>
          </w:p>
          <w:p>
            <w:pPr>
              <w:widowControl/>
              <w:jc w:val="left"/>
              <w:textAlignment w:val="top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textAlignment w:val="top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满足所有先决条件方可进行打分评价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其中1条不满足的，即为不合格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三年内未受行政处罚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或已整改到位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近三年内（自遴选通知下发之日起前三年），未受到自然资源和生态环境等部门行政处罚，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或受到处罚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在履行期限内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已执行到位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（出具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），且未发生过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较大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及以上安全生产事故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环境事件的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矿业权人异常名录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矿山参加遴选期间，矿业权人未被列入矿业权人勘查开采信息公示异常名录。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矿山要求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矿山近三年内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正常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运营，且剩余储量可采年限（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储量年度报告）不少于三年。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2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矿区范围</w:t>
            </w:r>
          </w:p>
        </w:tc>
        <w:tc>
          <w:tcPr>
            <w:tcW w:w="710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矿区范围未涉及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生态保护红线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国家有规定的除外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符合国土空间规划及规划环评要求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  <w:tc>
          <w:tcPr>
            <w:tcW w:w="58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</w:tbl>
    <w:p/>
    <w:tbl>
      <w:tblPr>
        <w:tblStyle w:val="3"/>
        <w:tblW w:w="15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0"/>
        <w:gridCol w:w="2"/>
        <w:gridCol w:w="1130"/>
        <w:gridCol w:w="672"/>
        <w:gridCol w:w="5300"/>
        <w:gridCol w:w="950"/>
        <w:gridCol w:w="2563"/>
        <w:gridCol w:w="915"/>
        <w:gridCol w:w="915"/>
        <w:gridCol w:w="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tblHeader/>
          <w:jc w:val="center"/>
        </w:trPr>
        <w:tc>
          <w:tcPr>
            <w:tcW w:w="107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一级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二级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三级指标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标准分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评分说明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考核方法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依据或标准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指标属性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检查记录</w:t>
            </w: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一、矿区环境(7项，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分)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1矿容矿貌（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1功能分区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生产区、管理区、生活区进行功能分区，符合分区要求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管理区、生活区分区不明显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生产区、管理区分区不明显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矿区总平面布置图或示意图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《工业企业总平面设计规范》（GB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50187）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2配套设施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矿区地面运输、供水、供电等配套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设施齐全、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正常运行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食堂、澡堂、厕所等设施齐全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整洁规范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对矿区建筑、构筑物及时维护、维修或粉刷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生产区、管理区、生活区的所有场所不存在私搭乱建等临时建筑、废弃建构筑物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，发现一处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矿区总平面布置图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3标识标牌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区按要求设置操作提示牌、说明牌、线路示意图牌等各类标牌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标牌的尺寸、形状、颜色设置符合规定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，发现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0.2分。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《标牌》（GB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/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T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 13306）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4定置管理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设备、物资材料规范管理，做到分类分区、摆放有序、堆码整齐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5清洁卫生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矿区保持清洁卫生，主干道路表面平整、密实和粗糙度适当，内部道路或专用道路及时清理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洒落物，生产区及管理区无垃圾、无废石乱扔乱放，生产现场管线无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、冒、滴、漏现象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0.5分。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《厂矿道路设计规范》（GBJ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22）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2矿区绿化美化（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6矿区绿化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可绿化区域实现全覆盖，且无大面积表土裸露。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/>
              </w:rPr>
              <w:t>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可绿化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是指除采场、建筑覆盖区、硬化地面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不宜进行绿化区域以外的区域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7绿化效果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绿化植物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以本土物种为主，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搭配合理，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与周边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环境协调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一致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符合当地气候条件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/>
              </w:rPr>
              <w:t>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提升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二、资源开采（4项，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开采活动（1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8开采方式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>
            <w:pPr>
              <w:adjustRightInd w:val="0"/>
              <w:snapToGrid w:val="0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露天开采采用自上而下分台阶开采，符合开采设计要求。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坚持采剥并举、剥离先行的原则，优化开采布局，选择合理工艺，科学制定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/>
              </w:rPr>
              <w:t>采排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计划，尽量减少对地表的破坏。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地下开采方法和顺序合理，符合开采设计要求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开采技术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生态环境保护要求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开采设计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9开采技术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8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①钻孔：采用湿式、干式（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收尘）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凿岩作业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②爆破：采用微差爆破、预裂爆破、光面爆破等爆破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铲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装：采用大型化自动化液压铲装设备、液压挖掘机或装载机、自卸式矿车、大型自移式破碎机等先进设备进行铲装作业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④排土：生产期采用分期内排技术，最大化利用内排土场排土，减少外部土地占用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（兼备地下和露天开采的，以现阶段主要开采方式选择其一进行评分，分数不可累加）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采用减轻地表沉陷变形、减少对土壤和地下水污染的开采方式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充填法、保水开采等技术进行地下开采，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得3分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widowControl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利用采空区规模化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环保化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处置尾矿、废石、煤矸石等，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得3分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③应用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开采、深部开采等先进开采技术，得2分。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（兼备地下和露天开采的，以现阶段主要开采方式选择其一进行评分，分数不可累加）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石油天然气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矿泉水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等：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①采用电动钻机及顶驱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等钻井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装置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②采用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快、控压等钻井技术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③采用环保型钻井液及循环利用技术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得2分；</w:t>
            </w:r>
          </w:p>
          <w:p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④及时无害化处置钻井泥浆等钻井废弃物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得2分。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工艺技术装备资料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10开采回采率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开采回采率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自然资源部发布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”指标要求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开采工作面（5分）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11质量要求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露天开采：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作业平台干净，保持平整、通畅，无杂物、无积水，工作台阶与非工作台阶坡面无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石，非工作台阶滚落物及时清理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地下开采：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工作面满足通风、运输、行人、设备安装、检修的需要，支护完好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无较大面积积水、无浮碴、无杂物，材料堆放整齐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适用于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石油天然气等：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生产作业场地无明显油污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无“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跑冒滴漏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及对井场表层土壤造成污染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钻井废弃物不落地，进行集中无害化处理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发现一处不符合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1分。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★适用于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地热矿泉水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等：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生产作业场所应干净整洁、无污渍；井（泉）及其附属设施保持完好并正常运行，无堵塞或泄露；应建有规范完备的污废水处理设施，正常运行合理处置污水、废水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。符合要求得5分，发现一处不符合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扣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三、资源综合利用（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分；4项1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3998" w:type="dxa"/>
            <w:gridSpan w:val="10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（1）非金属、化工、黄金、冶金、有色、油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气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、煤炭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地热、矿泉水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等行业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选矿回收（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12选矿加工工艺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选矿工艺符合设计规范，不得使用国家规定的限制类和淘汰类技术、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工艺和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装备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地热、矿泉水的利用做到资源分级利用、优质优用。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《煤炭洗选工程设计规范》（GB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50359-2016）等矿山选矿工艺设计规范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13选矿回收率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选矿回收率符合矿产资源合理开发利用“三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自然资源部发布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2综合利用（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14共伴生资源综合勘查与评价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矿产资源综合勘查评价规范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进行综合勘查、综合评价。符合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《矿产资源综合勘查评价规范》（GB/T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25283）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提升性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15共伴生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矿产资源综合利用率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共伴生矿产综合利用率达到国家发布的矿产资源合理开发利用“三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”指标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自然资源部发布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“三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</w:rPr>
              <w:t>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”指标要求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16对暂不能开采利用的矿产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对暂不能开采利用的共伴生矿产采取保护措施。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《矿产资源开发利用方案》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，矿山设计，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3固废综合利用（3分）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17工业固废处置与利用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通过回填、铺路、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等方式充分利用固体废弃物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分；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剥离表土用于土地复垦、生态修复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1分（无表土的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，直接得1分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渗滤液收集、废水处理、地下水环境监测等尾矿库污染防治设施符合相关法规标准要求，得0.5分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《矿产资源开发利用方案》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《一般工业固体废物贮存和填埋污染控制标准》（GB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18599）《尾矿污染环境防治管理办法》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18回收提取有价元素/有用矿物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鼓励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已有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尾矿、煤矸石、废石等固体废弃物中提取有价元素或有用矿物。符合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，不符合得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生产报表、销售报表、财务报表等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4废水综合利用（5分）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19生产废水综合利用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①配备完备的废水处理设施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并正常运行的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②采用洁净化、资源化技术工艺合理处置矿井水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废水、尾水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得1分。煤矿、黄金等行业矿井水处置率达到100%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不达标不得分。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③选矿废水循环利用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得1分。煤矿矿井水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利用率达到相关标准，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冶金选矿废水循环利用率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90%，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非金属矿山选矿废水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重复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85%，化工行业选矿回水利用率达到100%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地热矿泉水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尾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废水集中处理达标后外排或回灌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不达标不得分。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ind w:left="-22" w:firstLine="25" w:firstLineChars="12"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煤炭采选业清洁生产评价指标体系》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（国家发展改革委、生态环境部、工业和信息化部，2019年发布），冶金、非金属、煤炭、化工行业绿色矿山建设规范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20生活污水综合利用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①配备生活污水处理系统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并正常运行的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1分；生活污水处置达标后，用于工业场地浇灌绿化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洒水降尘或其他综合利用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得1分。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企业生活污水直接连入城镇污水处理管网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得2分。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998" w:type="dxa"/>
            <w:gridSpan w:val="10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（2）砂石、水泥灰岩、建筑石材等行业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21开采加工等相关产物综合利用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★适用于砂石、建筑石材等行业：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充分利用石粉、泥粉等矿山开采或加工产物，提高资源化利用水平，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环境治理、土地复垦和土壤改良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★适用于水泥灰岩行业：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结合水泥生产线多种原料配料的特点，实现开采或加工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产各类产物资源化利用，实现资源分级利用、优质优用，实现高品位矿石与低品位矿石、夹层、顶底板围岩等综合利用。符合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2固废综合利用（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22土质剥离物的综合利用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★适用于砂石、建筑石材等行业：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排土场堆放的剥离表土或筛分后的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碴土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、废石等，用于环境治理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土地复垦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、生态修复等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★适用于水泥灰岩行业：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将符合要求的土质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剥离物用作硅铝质原料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或用于土地复垦，其他剥离物用作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水泥配料、砂石骨料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或其他工程用料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3废水综合利用（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23生产废水处置与利用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①配备完善的生产废水处理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2分；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②废水经固液分离处理后，清水得到有效循环利用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得2分。砂石清水循环利用率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达到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100%，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不达标不得分。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生产报表（调度报表）或其他证明材料，砂石行业绿色矿山建设规范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24生活污水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综合利用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①配备生活污水处理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分；生活污水处置达标后，用于工业场地浇灌绿化，洒水降尘或其他综合利用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企业生活污水直接连入城镇污水处理管网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得4分。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符合环评批复相关要求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四、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绿色低碳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1节约集约用地（2分）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25节约集约用地情况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矿山用地在满足建设、运输生产等要求前提下，综合考虑土地资源、资金、环境等经济技术条件，按照节约集约原则，进行优化配置和科学利用，充分利用荒地、劣地，少占耕地。符合要求得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《节约集约利用土地规定（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2019年修正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）》《工业项目用地控制指标》《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自然资源部办公厅关于规范开展建设项目节地评价工作的通知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》（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自然资办发〔2021〕14号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提升性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2" w:type="dxa"/>
            <w:gridSpan w:val="2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节能降耗（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能源管理体系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有年度能源管理计划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建立全过程能耗管理体系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取得能源管理体系认证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得分不超过1分。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能耗核算体系文件或台账，能源管理体系证书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52" w:type="dxa"/>
            <w:gridSpan w:val="2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单位产品能耗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单位产品能耗符合国家标准。煤矿、铁矿、金矿、有色金属矿有国家标准的，执行国家标准。其他矿种暂无国家标准、行业标准的，以企业近3年能耗等指标均值为依据进行考核，要体现节能降耗进步要求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能耗逐年降低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得2分，不符合得0分。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能耗台账、各行业单位产品能源消耗限额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减碳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碳排放核算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按照规定的核算方法，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对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矿区范围内的温室气体排放进行核算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开展工作的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得2分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未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开展工作的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0分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《工业企业温室气体排放核算和报告通则》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 xml:space="preserve">GB/T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32150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《温室气体排放核算方法与报告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》（GB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/T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32151）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4源头预防（5分）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地下水环境状况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矿区及周边地下水具备使用功能的，其环境状况应达到相关功能限值要求；存在人为因素导致地下水不满足相关功能要求时，应该按照相关标准开展地下水污染风险管控修复，防止地下水污染加重与扩散。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工矿用地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土壤环境管理办法（试行）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》《地下水质量标准》（GB/T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14848）、《污染地块地下水修复和风险管控技术导则》（HJ 25.6）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酸性废水源头预防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评估预测矿山关闭酸性废水产生量及对周边环境影响，在开采和闭矿前综合采用雨水导排、补给控制、矿山回填等措施，预防酸性废水大量产生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《水污染防治法》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土壤污染源头预防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矿山开采区、尾矿库等运营、管理单位应当采取防渗漏等措施，并建设地下水水质监测井进行监测；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bidi="ar"/>
              </w:rPr>
              <w:t>建设涉及有毒有害物质的设施设备，应设计、建设和安装有关防腐蚀、防泄漏设施和泄漏监测装置，防止有毒有害物质污染土壤和地下水；构筑物及场地防渗要求符合相关标准的规定。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《水污染防治法》《工矿用地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土壤环境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管理办法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（试行）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》《一般工业固体废物贮存和填埋污染控制标准》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GB 18599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《尾矿库设计规范》（GB 50863）、《有色金属工业环境保护工程设计规范》（GB 50988）、《危险废物贮存污染控制标准》（GB 18597）、《危险废物填埋污染控制标准》（GB 18598）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土壤污染隐患排查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列入土壤污染重点监管单位的企业，应定期对重点区域、重点设施设备开展隐患排查；开展土壤和地下水自行监测；严格控制有毒有害物质排放，并按年度向生态环境主管部门报告排放情况。符合要求得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分，不符合得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分（未列入土壤污染重点监管单位的企业本项直接得分）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《土壤污染防治法》《重点监管单位土壤污染隐患排查指南（试行）》（生态环境部〔2021〕1号公告）、《工业企业土壤和地下水自行监测技术指南（试行）》（HJ 1209）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废物排放（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固废排放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对无法实现综合利用的固体废弃物，划分危险废物、一般废物和生活垃圾不同类别，实现分级分类，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堆场、尾矿库污染防治设施符合相关法规标准要求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并按照国家法律和标准，自行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或委托第三方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固体废弃物进行处置，委托第三方有资质的单位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对危险废物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进行处置。符合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《中华人民共和国固体废物污染环境防治法》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一般工业固体废物贮存、处置场污染控制标准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(GB 18599)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危险废物焚烧、贮存、填埋污染控制标准(GB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18484、18597、18598)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废水排放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清污管路分别铺设、雨水与污水管群分开设置；生活污水经处理后水质达标排放，或污水直接排入市政污水管网；工业废水经处理后水质达标排放；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尾矿库、排土场等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建有雨水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截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（排）水沟，地表径流水、淋溶水等经沉淀后达标排放或处理回用。符合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国家水污染物排放标准（GB 8978、GB 20426、GB 25465、GB 25466、GB 25467、GB 25468、GB 26451、GB 28661、GB 30770等）以及所在省（自治区、直辖市）人民政府发布实施的地方水污染物排放标准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废气排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在开采、加工、运输、贮存等环节，采取除尘捕尘、抑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降尘、净化废气等措施，实现达标排放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开采过程中的大气污染物排放应符合国家或地方相应排放标准。凿岩作业采用降尘措施，爆破作业喷雾洒水降尘，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生产区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配置洒水车定时洒水降尘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，配备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地面运输车辆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洗车台，对出厂车辆进行清洗，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外运产品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途中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苫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，废石或矿石周转场地、贮存场所具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防扬尘设施。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矿区建筑物上无明显积尘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，矿区周边植被无明显粉尘覆盖。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对矿区粉尘进行定期监测。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国家大气污染物排放标准（GB 4915、GB 9078、GB 16297、GB 20426、GB 25465、GB 25466、GB 25467、GB 25468、GB 26451、GB 28661、GB 30770、GB 41618等）以及所在省（自治区、直辖市）人民政府发布实施的地方大气污染物排放标准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移动源控制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企业使用铁路、水路、封闭式皮带廊道、新能源汽车运输矿石等大宗货物年货运量占比达到70%，得1分。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《深入打好重污染天气消除、臭氧污染防治和柴油货车污染治理攻坚战行动方案》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（生态环境部〔202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号公告）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提升性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噪声排放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对矿区凿岩、破碎和空压等高噪声设备进行降噪处理，配备消声、减振和隔振等措施，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厂界噪声排放达标。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对厂界噪声进行定期监测。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《工业企业厂界环境噪声排放标准》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GB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12348-2008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五、生态修复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与环境治理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项，1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1矿山地质环境治理恢复与土地复垦（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矿山地质环境保护与土地复垦方案编制与执行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矿山地质环境保护与土地复垦方案》已通过审查并在适用期；依据《矿山地质环境保护与土地复垦方案》编制了年度计划；执行了年度报告制度；矿山地质环境治理恢复、土地复垦质量符合要求；完成了年度或阶段性目标任务并通过阶段验收。符合要求得5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《矿山地质环境保护与土地复垦方案》及年度计划、《土地复垦质量控制标准》(TD/T 1036) 、《矿山生态修复技术规范》(TD/T 1070)等标准规范。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9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矿山地质环境治理恢复基金计提使用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按相关规定及标准足额计提矿山地质环境治理恢复基金并规范使用，统筹用于开展矿山地质环境治理恢复和土地复垦。符合要求得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《矿山地质环境保护与土地复垦方案》及年度计划、基金监管政策文件及标准规范，其他证明材料等。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2治理要求（5分）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治理效果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设永久排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</w:rPr>
              <w:t>矸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排土场、尾矿库、露天采场、矿区专用道路、矿山工业场地、塌陷区、废石场等区域生态修复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与环境治理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符合要求。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落实“边开采、边修复”要求，矿山生态修复能够分区、分期进行的，要分区、分期开展。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治理后的各类场地对周边环境不产生污染，与周边自然环境相协调，周边水体质量恢复至原水平，区域生态功能得到保护和恢复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分，不符合得0分。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《矿山生态环境保护与恢复治理技术规范》（HJ 651）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《土地复垦质量控制标准》(TD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T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1036)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</w:rPr>
              <w:t>《矿山生态修复技术规范》(TD/T 1070)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/>
              </w:rPr>
              <w:t>、《生态保护修复成效评估技术指南（试行）》（HJ 1272—2022），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其他文件证明材料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矿山环境动态监测（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动态监测要求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建立动态监测体系，对选矿废水、矿井水、尾矿库、矸石山、排土场、废石堆场、地下水等定期进行环境监测，并根据监测结果，采取了有效保护措施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对地质环境破坏与恢复治理、土地损毁与复垦利用、生态系统破坏（退化）与恢复进行了动态监测。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符合要求得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分，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不符合得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监测记录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《生态保护修复成效评估技术指南（试行）》（HJ 1272—2022）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</w:rPr>
              <w:t>《矿山生态修复技术规范》(TD/T 1070)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等相关标准规范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其他证明材料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环境管理体系（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环境管理体系要求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建立环境管理机制，有完善的环境管理制度，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配备了必要的环境管理机构和生态环境保护等专业技术人员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有环境管理日常监管记录，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采取了环境风险防范措施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得1分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获得环境管理体系认证，得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查资料、查现场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环境管理制度、突发事件预案、认证证书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《生态保护修复成效评估技术指南（试行）》（HJ 1272—2022）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7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六、科技创新与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规范管理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1科技创新（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研发及技改投入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具有技术研发队伍和专业技术人员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0.5分；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研发及技改投入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上年度主营业务收入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.5%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0.5分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；完成环评要求的专项研究，得0.5分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最多得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生产报表（调度报表）或其他证明材料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创新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成果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获得1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发明专利得0.5分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，最多得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入选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《节地技术和节地模式推荐目录》或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最新版《矿产资源节约和综合利用先进适用技术目录》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1项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，最多得2分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获得高新技术企业证书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证书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或其他证明材料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2数字化矿山（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集中管控平台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集中管控平台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能够将远程监控系统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自动控制系统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储量管理系统、生态环境监测管理系统等集中在大屏幕展示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。符合要求得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，发现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一项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不符合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扣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0.5分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智能化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应用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按照</w:t>
            </w:r>
            <w:r>
              <w:rPr>
                <w:rFonts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bidi="ar"/>
              </w:rPr>
              <w:t>智能矿山建设规范》（DZ/T 0376-2021）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"/>
              </w:rPr>
              <w:t>等标准开展智能矿山建设。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</w:rPr>
              <w:t>《智能矿山建设规范》（DZ/T 0376-2021）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规范管理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分）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企业文化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制定绿色矿山建设年度计划，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定期开展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自评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制作绿色矿山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宣传展板、标语和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宣传片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建立人员目视化管理制度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；建立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职工收入随企业业绩同步增长机制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职工休闲、娱乐、文化体育设施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开展活动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职工满意度不低于70%。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符合要求得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1分，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发现一项不符合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查资料、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查现场、调查走访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企业管理文件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、自评材料、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宣传片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活动证明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认证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、证书、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调查问卷原始记录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提升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企业诚信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依法纳税，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按要求提交储量年报、储量表及矿产资源统计基础表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按规定缴存矿业权出让收益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。符合要求得2分，不符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eastAsia="zh-CN" w:bidi="ar"/>
              </w:rPr>
              <w:t>合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highlight w:val="none"/>
                <w:lang w:val="en-US" w:eastAsia="zh-CN" w:bidi="ar"/>
              </w:rPr>
              <w:t>得0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税务及相关部门证明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约束性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07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2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矿地和谐</w:t>
            </w:r>
          </w:p>
        </w:tc>
        <w:tc>
          <w:tcPr>
            <w:tcW w:w="67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30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建立职业健康管理制度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建立良好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地关系，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制定和公开申诉回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应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制度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，具有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联系机构与人员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及时妥善处理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与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受采矿活动影响的社区等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利益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相关者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val="en-US" w:eastAsia="zh-CN" w:bidi="ar"/>
              </w:rPr>
              <w:t>间的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纠纷矛盾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/>
                <w:color w:val="auto"/>
                <w:kern w:val="0"/>
                <w:szCs w:val="21"/>
                <w:lang w:bidi="ar"/>
              </w:rPr>
              <w:t>维护当地生产、生活相关生态环境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在劳务用工、基础设施、公益募捐、教育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医疗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一个及以上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方面开展帮扶，助力乡村振兴。符合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要求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，不符合得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0分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95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查资料、调查走访</w:t>
            </w:r>
          </w:p>
        </w:tc>
        <w:tc>
          <w:tcPr>
            <w:tcW w:w="256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文件、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票据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证明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材料</w:t>
            </w:r>
          </w:p>
        </w:tc>
        <w:tc>
          <w:tcPr>
            <w:tcW w:w="915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约束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性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left="0" w:leftChars="0"/>
        <w:jc w:val="both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ind w:left="-567" w:leftChars="-27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国家级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绿色矿山建设评价指标》包含先决条件和评分表两部分。先决条件属于否决项，有一项达不到要求，则不能参与绿色矿山遴选工作，各省（区、市）可根据实际情况依法依规增加否决项。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一、计分办法与达标说明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（一）评价指标共4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分约束性指标、提升性指标两类，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分别从矿区环境、资源开采、资源综合利用、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绿色低碳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、生态修复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与环境治理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、科技创新与规范管理六个方面对绿色矿山建设水平进行评分。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（二）约束性指标共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项，所有约束性指标必须得满分，若一项不得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分则不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达标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。提升性指标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项，体现差异性，按评分表内的评分说明进行评分。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（三）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不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涉及项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计分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经判定某项指标属于不涉及项的，按大类采用折合法计分。不涉及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  <w:lang/>
        </w:rPr>
        <w:t>项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在评分表中明确说明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判定依据和理由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评价指标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总分100分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总得分原则上不低于80分，各省（区、市）自然资源管理部门可在综合要求不降低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前提下，根据各地实际情况适当调整具体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达标线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</w:rPr>
        <w:t>二、评分说明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（一）某一指标评分说明属于扣分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最多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扣完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该项分值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。某一指标评分说明属于增分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最多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增至该项总分。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（二）所有得分必须有依据并要保留证明材料，在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栏里写明得到相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分值的原因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缺少支撑材料或证明材料不得分。如需填写内容较多，可在评估报告中重点描述。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（三）对于集中建设的选矿加工等配套系统，应明确关联关系，可统一纳入评估考虑。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（四）对于调查问卷、现场考核、专家打分取平均值等评估方式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需要在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说明里进行详细描述。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（五）需要现场查看的内容，在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检查记录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里应写明哪些工作人员到什么现场看了什么内容（设备、设施、厂地、环境、现场等）。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color w:val="000000"/>
        <w:sz w:val="21"/>
        <w:szCs w:val="21"/>
        <w:lang w:val="en-US" w:eastAsia="zh-CN" w:bidi="ar-SA"/>
      </w:rPr>
    </w:pPr>
    <w:r>
      <w:rPr>
        <w:rFonts w:ascii="Calibri" w:hAnsi="Calibri" w:eastAsia="宋体" w:cs="Calibri"/>
        <w:color w:val="000000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MjYyZjNmNTc4ZjM3NGNiNTc4MWE5Zjc3ODA1YzUifQ=="/>
  </w:docVars>
  <w:rsids>
    <w:rsidRoot w:val="00000000"/>
    <w:rsid w:val="17FF3F29"/>
    <w:rsid w:val="1DFF0FD8"/>
    <w:rsid w:val="1FDF6E5F"/>
    <w:rsid w:val="2F4B3BEC"/>
    <w:rsid w:val="2FF75DEF"/>
    <w:rsid w:val="39FF050F"/>
    <w:rsid w:val="3DF88B09"/>
    <w:rsid w:val="3EAB0813"/>
    <w:rsid w:val="3EE3E7CD"/>
    <w:rsid w:val="3F5E7B73"/>
    <w:rsid w:val="3FBE5D23"/>
    <w:rsid w:val="3FBFFCA5"/>
    <w:rsid w:val="3FF35094"/>
    <w:rsid w:val="574E8118"/>
    <w:rsid w:val="5B7A0689"/>
    <w:rsid w:val="5BD462C2"/>
    <w:rsid w:val="5D7EA438"/>
    <w:rsid w:val="5EFA7CCD"/>
    <w:rsid w:val="61E7EF69"/>
    <w:rsid w:val="6B7B8B53"/>
    <w:rsid w:val="6DB5EC70"/>
    <w:rsid w:val="6FDB700B"/>
    <w:rsid w:val="734A874B"/>
    <w:rsid w:val="73697162"/>
    <w:rsid w:val="755D3217"/>
    <w:rsid w:val="75ED5D32"/>
    <w:rsid w:val="76F7C8A6"/>
    <w:rsid w:val="777D7236"/>
    <w:rsid w:val="77CDB37E"/>
    <w:rsid w:val="77FFA91D"/>
    <w:rsid w:val="7856695F"/>
    <w:rsid w:val="789732E1"/>
    <w:rsid w:val="78FE481A"/>
    <w:rsid w:val="7B967CA5"/>
    <w:rsid w:val="7BC76C74"/>
    <w:rsid w:val="7BDA2F67"/>
    <w:rsid w:val="7C013D37"/>
    <w:rsid w:val="7DFE0A70"/>
    <w:rsid w:val="7E7FA182"/>
    <w:rsid w:val="7EA88ECF"/>
    <w:rsid w:val="7EDFE6A7"/>
    <w:rsid w:val="7F57255E"/>
    <w:rsid w:val="7FC5E823"/>
    <w:rsid w:val="7FCE7C49"/>
    <w:rsid w:val="7FDCD5F5"/>
    <w:rsid w:val="7FEB5850"/>
    <w:rsid w:val="7FFF820D"/>
    <w:rsid w:val="8CE3016F"/>
    <w:rsid w:val="99FAF632"/>
    <w:rsid w:val="9E1DDE32"/>
    <w:rsid w:val="9FBFABA8"/>
    <w:rsid w:val="AFDC2C70"/>
    <w:rsid w:val="B62F3C99"/>
    <w:rsid w:val="B997F93D"/>
    <w:rsid w:val="BA7B23C6"/>
    <w:rsid w:val="BEA6B462"/>
    <w:rsid w:val="BFEB3481"/>
    <w:rsid w:val="CD3EDDE9"/>
    <w:rsid w:val="D2DB9DAA"/>
    <w:rsid w:val="D7B50B9C"/>
    <w:rsid w:val="DCF54A05"/>
    <w:rsid w:val="DD15FF32"/>
    <w:rsid w:val="DEED6F57"/>
    <w:rsid w:val="DF3F34A4"/>
    <w:rsid w:val="DF7F4D84"/>
    <w:rsid w:val="DFE3E63B"/>
    <w:rsid w:val="DFEF5BD4"/>
    <w:rsid w:val="DFF4945E"/>
    <w:rsid w:val="DFFCCCAF"/>
    <w:rsid w:val="DFFD2935"/>
    <w:rsid w:val="E9DD2A2B"/>
    <w:rsid w:val="EEF6DF70"/>
    <w:rsid w:val="EF571D7B"/>
    <w:rsid w:val="EFBFECA4"/>
    <w:rsid w:val="F2FFB154"/>
    <w:rsid w:val="F38D895D"/>
    <w:rsid w:val="F3F54342"/>
    <w:rsid w:val="F77E5F01"/>
    <w:rsid w:val="F9CF8CB2"/>
    <w:rsid w:val="FAEB9989"/>
    <w:rsid w:val="FAF41D82"/>
    <w:rsid w:val="FB7E255A"/>
    <w:rsid w:val="FBEEA2CD"/>
    <w:rsid w:val="FBFF5A5B"/>
    <w:rsid w:val="FC661A48"/>
    <w:rsid w:val="FC9A1EE1"/>
    <w:rsid w:val="FDD7A529"/>
    <w:rsid w:val="FDFE0401"/>
    <w:rsid w:val="FE734873"/>
    <w:rsid w:val="FFBFE80A"/>
    <w:rsid w:val="FFE7D486"/>
    <w:rsid w:val="FFF93735"/>
    <w:rsid w:val="FFFD9B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keepLines/>
      <w:widowControl w:val="0"/>
      <w:adjustRightInd w:val="0"/>
      <w:snapToGrid w:val="0"/>
      <w:spacing w:before="50" w:beforeLines="50" w:after="50" w:afterLines="50" w:line="360" w:lineRule="auto"/>
      <w:ind w:firstLine="0" w:firstLineChars="0"/>
      <w:jc w:val="center"/>
      <w:outlineLvl w:val="3"/>
    </w:pPr>
    <w:rPr>
      <w:rFonts w:ascii="Times New Roman" w:hAnsi="Times New Roman" w:eastAsia="宋体" w:cs="Times New Roman"/>
      <w:b/>
      <w:bCs/>
      <w:kern w:val="2"/>
      <w:sz w:val="30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Lenovo</cp:lastModifiedBy>
  <dcterms:modified xsi:type="dcterms:W3CDTF">2024-04-18T06:40:12Z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9FBF28351FFB4FC78632DBA3473AC784_13</vt:lpwstr>
  </property>
</Properties>
</file>