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autoSpaceDE/>
        <w:autoSpaceDN/>
        <w:bidi w:val="0"/>
        <w:adjustRightInd w:val="0"/>
        <w:snapToGrid/>
        <w:spacing w:line="240" w:lineRule="auto"/>
        <w:ind w:left="0" w:leftChars="0" w:firstLine="0" w:firstLineChars="0"/>
        <w:textAlignment w:val="auto"/>
        <w:rPr>
          <w:rFonts w:hint="default" w:ascii="Times New Roman" w:hAnsi="Times New Roman" w:eastAsia="黑体" w:cs="Times New Roman"/>
          <w:color w:val="auto"/>
          <w:sz w:val="32"/>
          <w:szCs w:val="32"/>
          <w:lang w:val="en-US" w:eastAsia="zh-CN"/>
        </w:rPr>
      </w:pPr>
      <w:bookmarkStart w:id="0" w:name="_GoBack"/>
      <w:bookmarkEnd w:id="0"/>
      <w:r>
        <w:rPr>
          <w:rFonts w:hint="default" w:ascii="Times New Roman" w:hAnsi="Times New Roman" w:eastAsia="黑体" w:cs="Times New Roman"/>
          <w:color w:val="auto"/>
          <w:sz w:val="32"/>
          <w:szCs w:val="32"/>
          <w:lang w:eastAsia="zh-CN"/>
        </w:rPr>
        <w:t>附件</w:t>
      </w:r>
      <w:r>
        <w:rPr>
          <w:rFonts w:hint="default" w:ascii="Times New Roman" w:hAnsi="Times New Roman" w:eastAsia="黑体" w:cs="Times New Roman"/>
          <w:color w:val="auto"/>
          <w:sz w:val="32"/>
          <w:szCs w:val="32"/>
          <w:lang w:val="en-US" w:eastAsia="zh-CN"/>
        </w:rPr>
        <w:t>2</w:t>
      </w:r>
    </w:p>
    <w:p>
      <w:pPr>
        <w:pageBreakBefore w:val="0"/>
        <w:widowControl w:val="0"/>
        <w:kinsoku/>
        <w:wordWrap/>
        <w:overflowPunct/>
        <w:topLinePunct w:val="0"/>
        <w:autoSpaceDE/>
        <w:autoSpaceDN/>
        <w:bidi w:val="0"/>
        <w:adjustRightInd w:val="0"/>
        <w:snapToGrid/>
        <w:spacing w:line="240" w:lineRule="auto"/>
        <w:ind w:left="0" w:leftChars="0" w:firstLine="0" w:firstLineChars="0"/>
        <w:textAlignment w:val="auto"/>
        <w:rPr>
          <w:rFonts w:hint="default" w:ascii="Times New Roman" w:hAnsi="Times New Roman" w:eastAsia="黑体" w:cs="Times New Roman"/>
          <w:color w:val="auto"/>
          <w:sz w:val="32"/>
          <w:szCs w:val="32"/>
          <w:lang w:val="en-US" w:eastAsia="zh-CN"/>
        </w:rPr>
      </w:pPr>
    </w:p>
    <w:p>
      <w:pPr>
        <w:pStyle w:val="2"/>
        <w:pageBreakBefore w:val="0"/>
        <w:widowControl w:val="0"/>
        <w:kinsoku/>
        <w:wordWrap/>
        <w:overflowPunct/>
        <w:topLinePunct w:val="0"/>
        <w:autoSpaceDE/>
        <w:autoSpaceDN/>
        <w:bidi w:val="0"/>
        <w:adjustRightInd w:val="0"/>
        <w:snapToGrid/>
        <w:spacing w:before="0" w:beforeLines="0" w:after="0" w:afterLines="0" w:line="240" w:lineRule="auto"/>
        <w:textAlignment w:val="auto"/>
        <w:rPr>
          <w:rFonts w:hint="default" w:ascii="Times New Roman" w:hAnsi="Times New Roman" w:eastAsia="方正小标宋_GBK" w:cs="Times New Roman"/>
          <w:b w:val="0"/>
          <w:bCs w:val="0"/>
          <w:color w:val="auto"/>
          <w:sz w:val="44"/>
          <w:szCs w:val="44"/>
          <w:lang w:val="en-US" w:eastAsia="zh-CN"/>
        </w:rPr>
      </w:pPr>
      <w:r>
        <w:rPr>
          <w:rFonts w:hint="default" w:ascii="Times New Roman" w:hAnsi="Times New Roman" w:eastAsia="方正小标宋_GBK" w:cs="Times New Roman"/>
          <w:b w:val="0"/>
          <w:bCs w:val="0"/>
          <w:color w:val="auto"/>
          <w:sz w:val="44"/>
          <w:szCs w:val="44"/>
        </w:rPr>
        <w:t>绿色矿山名录</w:t>
      </w:r>
      <w:r>
        <w:rPr>
          <w:rFonts w:hint="default" w:ascii="Times New Roman" w:hAnsi="Times New Roman" w:eastAsia="方正小标宋_GBK" w:cs="Times New Roman"/>
          <w:b w:val="0"/>
          <w:bCs w:val="0"/>
          <w:color w:val="auto"/>
          <w:sz w:val="44"/>
          <w:szCs w:val="44"/>
          <w:lang w:val="en-US" w:eastAsia="zh-CN"/>
        </w:rPr>
        <w:t>动态</w:t>
      </w:r>
      <w:r>
        <w:rPr>
          <w:rFonts w:hint="default" w:ascii="Times New Roman" w:hAnsi="Times New Roman" w:eastAsia="方正小标宋_GBK" w:cs="Times New Roman"/>
          <w:b w:val="0"/>
          <w:bCs w:val="0"/>
          <w:color w:val="auto"/>
          <w:sz w:val="44"/>
          <w:szCs w:val="44"/>
        </w:rPr>
        <w:t>管理</w:t>
      </w:r>
      <w:r>
        <w:rPr>
          <w:rFonts w:hint="default" w:ascii="Times New Roman" w:hAnsi="Times New Roman" w:eastAsia="方正小标宋_GBK" w:cs="Times New Roman"/>
          <w:b w:val="0"/>
          <w:bCs w:val="0"/>
          <w:color w:val="auto"/>
          <w:sz w:val="44"/>
          <w:szCs w:val="44"/>
          <w:lang w:val="en-US" w:eastAsia="zh-CN"/>
        </w:rPr>
        <w:t>要求</w:t>
      </w:r>
    </w:p>
    <w:p>
      <w:pPr>
        <w:pageBreakBefore w:val="0"/>
        <w:widowControl w:val="0"/>
        <w:kinsoku/>
        <w:wordWrap/>
        <w:overflowPunct/>
        <w:topLinePunct w:val="0"/>
        <w:autoSpaceDE/>
        <w:autoSpaceDN/>
        <w:bidi w:val="0"/>
        <w:adjustRightInd w:val="0"/>
        <w:snapToGrid/>
        <w:spacing w:line="240" w:lineRule="auto"/>
        <w:ind w:firstLine="640" w:firstLineChars="200"/>
        <w:textAlignment w:val="auto"/>
        <w:rPr>
          <w:rFonts w:hint="default" w:ascii="Times New Roman" w:hAnsi="Times New Roman" w:eastAsia="仿宋_GB2312" w:cs="Times New Roman"/>
          <w:color w:val="auto"/>
          <w:sz w:val="32"/>
          <w:szCs w:val="32"/>
        </w:rPr>
      </w:pPr>
    </w:p>
    <w:p>
      <w:pPr>
        <w:pageBreakBefore w:val="0"/>
        <w:widowControl w:val="0"/>
        <w:kinsoku/>
        <w:wordWrap/>
        <w:overflowPunct/>
        <w:topLinePunct w:val="0"/>
        <w:autoSpaceDE/>
        <w:autoSpaceDN/>
        <w:bidi w:val="0"/>
        <w:adjustRightInd w:val="0"/>
        <w:snapToGrid/>
        <w:spacing w:line="240" w:lineRule="auto"/>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为</w:t>
      </w:r>
      <w:r>
        <w:rPr>
          <w:rFonts w:hint="default" w:ascii="Times New Roman" w:hAnsi="Times New Roman" w:eastAsia="仿宋_GB2312" w:cs="Times New Roman"/>
          <w:color w:val="auto"/>
          <w:sz w:val="32"/>
          <w:szCs w:val="32"/>
          <w:lang w:val="en-US" w:eastAsia="zh-CN"/>
        </w:rPr>
        <w:t>推动绿色矿山名录动态管理，持续提升建设水平，规范全国绿色矿山进入名录后的监管、移出、重新纳入等，明确以下要求。</w:t>
      </w:r>
    </w:p>
    <w:p>
      <w:pPr>
        <w:pageBreakBefore w:val="0"/>
        <w:widowControl w:val="0"/>
        <w:kinsoku/>
        <w:wordWrap/>
        <w:overflowPunct/>
        <w:topLinePunct w:val="0"/>
        <w:autoSpaceDE/>
        <w:autoSpaceDN/>
        <w:bidi w:val="0"/>
        <w:adjustRightInd w:val="0"/>
        <w:snapToGrid/>
        <w:spacing w:line="240" w:lineRule="auto"/>
        <w:ind w:firstLine="640" w:firstLineChars="200"/>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一、管理部门职责</w:t>
      </w:r>
    </w:p>
    <w:p>
      <w:pPr>
        <w:pageBreakBefore w:val="0"/>
        <w:widowControl w:val="0"/>
        <w:kinsoku/>
        <w:wordWrap/>
        <w:overflowPunct/>
        <w:topLinePunct w:val="0"/>
        <w:autoSpaceDE/>
        <w:autoSpaceDN/>
        <w:bidi w:val="0"/>
        <w:adjustRightInd w:val="0"/>
        <w:snapToGrid/>
        <w:spacing w:line="240" w:lineRule="auto"/>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（一）各级自然资源主管部门会同</w:t>
      </w:r>
      <w:r>
        <w:rPr>
          <w:rFonts w:hint="eastAsia" w:ascii="Times New Roman" w:hAnsi="Times New Roman" w:eastAsia="仿宋_GB2312" w:cs="Times New Roman"/>
          <w:color w:val="auto"/>
          <w:sz w:val="32"/>
          <w:szCs w:val="32"/>
          <w:lang w:val="en-US" w:eastAsia="zh-CN"/>
        </w:rPr>
        <w:t>相</w:t>
      </w:r>
      <w:r>
        <w:rPr>
          <w:rFonts w:hint="default" w:ascii="Times New Roman" w:hAnsi="Times New Roman" w:eastAsia="仿宋_GB2312" w:cs="Times New Roman"/>
          <w:color w:val="auto"/>
          <w:sz w:val="32"/>
          <w:szCs w:val="32"/>
          <w:lang w:val="en-US" w:eastAsia="zh-CN"/>
        </w:rPr>
        <w:t>关部门建立监督检查机制，加强绿色矿山建设全过程监管，健全绿色矿山名录动态管理机制。</w:t>
      </w:r>
    </w:p>
    <w:p>
      <w:pPr>
        <w:pageBreakBefore w:val="0"/>
        <w:widowControl w:val="0"/>
        <w:kinsoku/>
        <w:wordWrap/>
        <w:overflowPunct/>
        <w:topLinePunct w:val="0"/>
        <w:autoSpaceDE/>
        <w:autoSpaceDN/>
        <w:bidi w:val="0"/>
        <w:adjustRightInd w:val="0"/>
        <w:snapToGrid/>
        <w:spacing w:line="240" w:lineRule="auto"/>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（二）自然资源部</w:t>
      </w:r>
      <w:r>
        <w:rPr>
          <w:rFonts w:hint="default" w:ascii="Times New Roman" w:hAnsi="Times New Roman" w:eastAsia="仿宋_GB2312" w:cs="Times New Roman"/>
          <w:color w:val="auto"/>
          <w:sz w:val="32"/>
          <w:szCs w:val="32"/>
          <w:u w:val="none"/>
          <w:lang w:val="en-US" w:eastAsia="zh-CN"/>
        </w:rPr>
        <w:t>会同</w:t>
      </w:r>
      <w:r>
        <w:rPr>
          <w:rFonts w:hint="eastAsia" w:ascii="Times New Roman" w:hAnsi="Times New Roman" w:eastAsia="仿宋_GB2312" w:cs="Times New Roman"/>
          <w:color w:val="auto"/>
          <w:sz w:val="32"/>
          <w:szCs w:val="32"/>
          <w:u w:val="none"/>
          <w:lang w:val="en-US" w:eastAsia="zh-CN"/>
        </w:rPr>
        <w:t>相</w:t>
      </w:r>
      <w:r>
        <w:rPr>
          <w:rFonts w:hint="default" w:ascii="Times New Roman" w:hAnsi="Times New Roman" w:eastAsia="仿宋_GB2312" w:cs="Times New Roman"/>
          <w:color w:val="auto"/>
          <w:sz w:val="32"/>
          <w:szCs w:val="32"/>
          <w:u w:val="none"/>
          <w:lang w:val="en-US" w:eastAsia="zh-CN"/>
        </w:rPr>
        <w:t>关部门</w:t>
      </w:r>
      <w:r>
        <w:rPr>
          <w:rFonts w:hint="default" w:ascii="Times New Roman" w:hAnsi="Times New Roman" w:eastAsia="仿宋_GB2312" w:cs="Times New Roman"/>
          <w:color w:val="auto"/>
          <w:sz w:val="32"/>
          <w:szCs w:val="32"/>
          <w:lang w:val="en-US" w:eastAsia="zh-CN"/>
        </w:rPr>
        <w:t>负责国家级绿色矿山名录动态管理的统筹协调和监督指导。省级自然资源主管部门牵头</w:t>
      </w:r>
      <w:r>
        <w:rPr>
          <w:rFonts w:hint="default" w:ascii="Times New Roman" w:hAnsi="Times New Roman" w:eastAsia="仿宋_GB2312" w:cs="Times New Roman"/>
          <w:color w:val="auto"/>
          <w:sz w:val="32"/>
          <w:szCs w:val="32"/>
          <w:u w:val="none"/>
          <w:lang w:val="en-US" w:eastAsia="zh-CN"/>
        </w:rPr>
        <w:t>会同有关主管部门</w:t>
      </w:r>
      <w:r>
        <w:rPr>
          <w:rFonts w:hint="default" w:ascii="Times New Roman" w:hAnsi="Times New Roman" w:eastAsia="仿宋_GB2312" w:cs="Times New Roman"/>
          <w:color w:val="auto"/>
          <w:sz w:val="32"/>
          <w:szCs w:val="32"/>
          <w:lang w:val="en-US" w:eastAsia="zh-CN"/>
        </w:rPr>
        <w:t>建立健全省级绿色矿山名录，</w:t>
      </w:r>
      <w:r>
        <w:rPr>
          <w:rFonts w:hint="default" w:ascii="Times New Roman" w:hAnsi="Times New Roman" w:eastAsia="仿宋_GB2312" w:cs="Times New Roman"/>
          <w:color w:val="auto"/>
          <w:sz w:val="32"/>
          <w:szCs w:val="32"/>
          <w:u w:val="none"/>
          <w:lang w:val="en-US" w:eastAsia="zh-CN"/>
        </w:rPr>
        <w:t>依职责</w:t>
      </w:r>
      <w:r>
        <w:rPr>
          <w:rFonts w:hint="default" w:ascii="Times New Roman" w:hAnsi="Times New Roman" w:eastAsia="仿宋_GB2312" w:cs="Times New Roman"/>
          <w:color w:val="auto"/>
          <w:sz w:val="32"/>
          <w:szCs w:val="32"/>
          <w:lang w:val="en-US" w:eastAsia="zh-CN"/>
        </w:rPr>
        <w:t>负责本行政区域内绿色矿山的监督管理，开展绿色矿山实地核查。</w:t>
      </w:r>
      <w:r>
        <w:rPr>
          <w:rFonts w:hint="default" w:ascii="Times New Roman" w:hAnsi="Times New Roman" w:eastAsia="仿宋_GB2312" w:cs="Times New Roman"/>
          <w:i w:val="0"/>
          <w:caps w:val="0"/>
          <w:color w:val="auto"/>
          <w:spacing w:val="0"/>
          <w:sz w:val="32"/>
          <w:szCs w:val="32"/>
          <w:lang w:val="en-US" w:eastAsia="zh-CN"/>
        </w:rPr>
        <w:t>不再设立市级和县级绿色矿山名录。</w:t>
      </w:r>
    </w:p>
    <w:p>
      <w:pPr>
        <w:pageBreakBefore w:val="0"/>
        <w:widowControl w:val="0"/>
        <w:kinsoku/>
        <w:wordWrap/>
        <w:overflowPunct/>
        <w:topLinePunct w:val="0"/>
        <w:autoSpaceDE/>
        <w:autoSpaceDN/>
        <w:bidi w:val="0"/>
        <w:adjustRightInd w:val="0"/>
        <w:snapToGrid/>
        <w:spacing w:line="240" w:lineRule="auto"/>
        <w:ind w:firstLine="640" w:firstLineChars="200"/>
        <w:textAlignment w:val="auto"/>
        <w:rPr>
          <w:rFonts w:hint="default" w:ascii="Times New Roman" w:hAnsi="Times New Roman" w:eastAsia="仿宋_GB2312" w:cs="Times New Roman"/>
          <w:i w:val="0"/>
          <w:caps w:val="0"/>
          <w:color w:val="auto"/>
          <w:spacing w:val="0"/>
          <w:sz w:val="32"/>
          <w:szCs w:val="32"/>
          <w:lang w:val="en-US" w:eastAsia="zh-CN"/>
        </w:rPr>
      </w:pPr>
      <w:r>
        <w:rPr>
          <w:rFonts w:hint="default" w:ascii="Times New Roman" w:hAnsi="Times New Roman" w:eastAsia="仿宋_GB2312" w:cs="Times New Roman"/>
          <w:i w:val="0"/>
          <w:caps w:val="0"/>
          <w:color w:val="auto"/>
          <w:spacing w:val="0"/>
          <w:sz w:val="32"/>
          <w:szCs w:val="32"/>
          <w:lang w:val="en-US" w:eastAsia="zh-CN"/>
        </w:rPr>
        <w:t>（三）自然资源部牵头组织开展国家级绿色矿山遴选工作，原则上从省级绿色矿山中择优产生，</w:t>
      </w:r>
      <w:r>
        <w:rPr>
          <w:rFonts w:hint="default" w:ascii="Times New Roman" w:hAnsi="Times New Roman" w:eastAsia="仿宋_GB2312" w:cs="Times New Roman"/>
          <w:color w:val="auto"/>
          <w:sz w:val="32"/>
          <w:szCs w:val="32"/>
          <w:lang w:val="en-US" w:eastAsia="zh-CN"/>
        </w:rPr>
        <w:t>联合</w:t>
      </w:r>
      <w:r>
        <w:rPr>
          <w:rFonts w:hint="eastAsia" w:ascii="Times New Roman" w:hAnsi="Times New Roman" w:eastAsia="仿宋_GB2312" w:cs="Times New Roman"/>
          <w:color w:val="auto"/>
          <w:sz w:val="32"/>
          <w:szCs w:val="32"/>
          <w:lang w:val="en-US" w:eastAsia="zh-CN"/>
        </w:rPr>
        <w:t>相关</w:t>
      </w:r>
      <w:r>
        <w:rPr>
          <w:rFonts w:hint="default" w:ascii="Times New Roman" w:hAnsi="Times New Roman" w:eastAsia="仿宋_GB2312" w:cs="Times New Roman"/>
          <w:color w:val="auto"/>
          <w:sz w:val="32"/>
          <w:szCs w:val="32"/>
          <w:lang w:val="en-US" w:eastAsia="zh-CN"/>
        </w:rPr>
        <w:t>部门通过专家论证、实地抽查核查、社会公示等程序，确认绿色矿山，纳入国家级绿色矿山名录。</w:t>
      </w:r>
    </w:p>
    <w:p>
      <w:pPr>
        <w:pageBreakBefore w:val="0"/>
        <w:widowControl w:val="0"/>
        <w:kinsoku/>
        <w:wordWrap/>
        <w:overflowPunct/>
        <w:topLinePunct w:val="0"/>
        <w:autoSpaceDE/>
        <w:autoSpaceDN/>
        <w:bidi w:val="0"/>
        <w:adjustRightInd w:val="0"/>
        <w:snapToGrid/>
        <w:spacing w:line="240" w:lineRule="auto"/>
        <w:ind w:firstLine="640" w:firstLineChars="200"/>
        <w:textAlignment w:val="auto"/>
        <w:rPr>
          <w:rFonts w:hint="default" w:ascii="Times New Roman" w:hAnsi="Times New Roman" w:eastAsia="仿宋_GB2312" w:cs="Times New Roman"/>
          <w:i w:val="0"/>
          <w:caps w:val="0"/>
          <w:color w:val="auto"/>
          <w:spacing w:val="0"/>
          <w:sz w:val="32"/>
          <w:szCs w:val="32"/>
          <w:lang w:val="en-US" w:eastAsia="zh-CN"/>
        </w:rPr>
      </w:pPr>
      <w:r>
        <w:rPr>
          <w:rFonts w:hint="default" w:ascii="Times New Roman" w:hAnsi="Times New Roman" w:eastAsia="仿宋_GB2312" w:cs="Times New Roman"/>
          <w:i w:val="0"/>
          <w:caps w:val="0"/>
          <w:color w:val="auto"/>
          <w:spacing w:val="0"/>
          <w:sz w:val="32"/>
          <w:szCs w:val="32"/>
          <w:lang w:val="en-US" w:eastAsia="zh-CN"/>
        </w:rPr>
        <w:t>省级自然资源主管部门</w:t>
      </w:r>
      <w:r>
        <w:rPr>
          <w:rFonts w:hint="eastAsia" w:ascii="Times New Roman" w:hAnsi="Times New Roman" w:eastAsia="仿宋_GB2312" w:cs="Times New Roman"/>
          <w:i w:val="0"/>
          <w:caps w:val="0"/>
          <w:color w:val="auto"/>
          <w:spacing w:val="0"/>
          <w:sz w:val="32"/>
          <w:szCs w:val="32"/>
          <w:lang w:val="en-US" w:eastAsia="zh-CN"/>
        </w:rPr>
        <w:t>会同相关部门，组织</w:t>
      </w:r>
      <w:r>
        <w:rPr>
          <w:rFonts w:hint="default" w:ascii="Times New Roman" w:hAnsi="Times New Roman" w:eastAsia="仿宋_GB2312" w:cs="Times New Roman"/>
          <w:i w:val="0"/>
          <w:caps w:val="0"/>
          <w:color w:val="auto"/>
          <w:spacing w:val="0"/>
          <w:sz w:val="32"/>
          <w:szCs w:val="32"/>
          <w:lang w:val="en-US" w:eastAsia="zh-CN"/>
        </w:rPr>
        <w:t>本行政区域内的绿色矿山遴选推荐工作，经矿山自评、第三方评估、实地核查、社会公示后，将符合标准要求的矿山纳入省级绿色矿山名录，并按有关要求择优向自然资源部推荐。对</w:t>
      </w:r>
      <w:r>
        <w:rPr>
          <w:rFonts w:hint="default" w:ascii="Times New Roman" w:hAnsi="Times New Roman" w:eastAsia="仿宋_GB2312" w:cs="Times New Roman"/>
          <w:color w:val="auto"/>
          <w:sz w:val="32"/>
          <w:szCs w:val="32"/>
          <w:lang w:val="en-US" w:eastAsia="zh-CN"/>
        </w:rPr>
        <w:t>矿区范围、开采方式、开采矿种、开采规模等</w:t>
      </w:r>
      <w:r>
        <w:rPr>
          <w:rFonts w:hint="eastAsia" w:ascii="Times New Roman" w:hAnsi="Times New Roman" w:eastAsia="仿宋_GB2312" w:cs="Times New Roman"/>
          <w:color w:val="auto"/>
          <w:sz w:val="32"/>
          <w:szCs w:val="32"/>
          <w:lang w:val="en-US" w:eastAsia="zh-CN"/>
        </w:rPr>
        <w:t>发生</w:t>
      </w:r>
      <w:r>
        <w:rPr>
          <w:rFonts w:hint="default" w:ascii="Times New Roman" w:hAnsi="Times New Roman" w:eastAsia="仿宋_GB2312" w:cs="Times New Roman"/>
          <w:color w:val="auto"/>
          <w:sz w:val="32"/>
          <w:szCs w:val="32"/>
          <w:lang w:val="en-US" w:eastAsia="zh-CN"/>
        </w:rPr>
        <w:t>重大变化的绿色矿山企业，要及时组织实地核查，明确其是否符合绿色矿山标准。</w:t>
      </w:r>
    </w:p>
    <w:p>
      <w:pPr>
        <w:pageBreakBefore w:val="0"/>
        <w:widowControl w:val="0"/>
        <w:kinsoku/>
        <w:wordWrap/>
        <w:overflowPunct/>
        <w:topLinePunct w:val="0"/>
        <w:autoSpaceDE/>
        <w:autoSpaceDN/>
        <w:bidi w:val="0"/>
        <w:adjustRightInd w:val="0"/>
        <w:snapToGrid/>
        <w:spacing w:line="240" w:lineRule="auto"/>
        <w:ind w:firstLine="640" w:firstLineChars="200"/>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二、矿山企业职责</w:t>
      </w:r>
    </w:p>
    <w:p>
      <w:pPr>
        <w:pageBreakBefore w:val="0"/>
        <w:widowControl w:val="0"/>
        <w:kinsoku/>
        <w:wordWrap/>
        <w:overflowPunct/>
        <w:topLinePunct w:val="0"/>
        <w:autoSpaceDE/>
        <w:autoSpaceDN/>
        <w:bidi w:val="0"/>
        <w:adjustRightInd w:val="0"/>
        <w:snapToGrid/>
        <w:spacing w:line="240" w:lineRule="auto"/>
        <w:ind w:firstLine="640" w:firstLineChars="200"/>
        <w:textAlignment w:val="auto"/>
        <w:rPr>
          <w:rFonts w:hint="default" w:ascii="Times New Roman" w:hAnsi="Times New Roman" w:eastAsia="仿宋_GB2312" w:cs="Times New Roman"/>
          <w:i w:val="0"/>
          <w:caps w:val="0"/>
          <w:color w:val="auto"/>
          <w:spacing w:val="0"/>
          <w:sz w:val="32"/>
          <w:szCs w:val="32"/>
          <w:lang w:val="en-US" w:eastAsia="zh-CN"/>
        </w:rPr>
      </w:pPr>
      <w:r>
        <w:rPr>
          <w:rFonts w:hint="default" w:ascii="Times New Roman" w:hAnsi="Times New Roman" w:eastAsia="仿宋_GB2312" w:cs="Times New Roman"/>
          <w:color w:val="auto"/>
          <w:sz w:val="32"/>
          <w:szCs w:val="32"/>
          <w:lang w:val="en-US" w:eastAsia="zh-CN"/>
        </w:rPr>
        <w:t>绿色矿山企业要积极巩固绿色矿山建设成效，主动接受相关部门的监督指导，主动</w:t>
      </w:r>
      <w:r>
        <w:rPr>
          <w:rFonts w:hint="default" w:ascii="Times New Roman" w:hAnsi="Times New Roman" w:eastAsia="仿宋_GB2312" w:cs="Times New Roman"/>
          <w:i w:val="0"/>
          <w:caps w:val="0"/>
          <w:color w:val="auto"/>
          <w:spacing w:val="0"/>
          <w:sz w:val="32"/>
          <w:szCs w:val="32"/>
          <w:lang w:val="en-US" w:eastAsia="zh-CN"/>
        </w:rPr>
        <w:t>展示科学开采、高效利用、节能减排、科技创新、矿地和谐等方面的绿色矿山建设经验、做法和成效，树立良好企业形象。</w:t>
      </w:r>
    </w:p>
    <w:p>
      <w:pPr>
        <w:pageBreakBefore w:val="0"/>
        <w:widowControl w:val="0"/>
        <w:kinsoku/>
        <w:wordWrap/>
        <w:overflowPunct/>
        <w:topLinePunct w:val="0"/>
        <w:autoSpaceDE/>
        <w:autoSpaceDN/>
        <w:bidi w:val="0"/>
        <w:adjustRightInd w:val="0"/>
        <w:snapToGrid/>
        <w:spacing w:line="240" w:lineRule="auto"/>
        <w:ind w:firstLine="640" w:firstLineChars="200"/>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三、名录管理要求</w:t>
      </w:r>
    </w:p>
    <w:p>
      <w:pPr>
        <w:pageBreakBefore w:val="0"/>
        <w:widowControl w:val="0"/>
        <w:kinsoku/>
        <w:wordWrap/>
        <w:overflowPunct/>
        <w:topLinePunct w:val="0"/>
        <w:autoSpaceDE/>
        <w:autoSpaceDN/>
        <w:bidi w:val="0"/>
        <w:adjustRightInd w:val="0"/>
        <w:snapToGrid/>
        <w:spacing w:line="240" w:lineRule="auto"/>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（一）省级自然资源主管部门会同</w:t>
      </w:r>
      <w:r>
        <w:rPr>
          <w:rFonts w:hint="eastAsia" w:ascii="Times New Roman" w:hAnsi="Times New Roman" w:eastAsia="仿宋_GB2312" w:cs="Times New Roman"/>
          <w:color w:val="auto"/>
          <w:sz w:val="32"/>
          <w:szCs w:val="32"/>
          <w:lang w:val="en-US" w:eastAsia="zh-CN"/>
        </w:rPr>
        <w:t>相</w:t>
      </w:r>
      <w:r>
        <w:rPr>
          <w:rFonts w:hint="default" w:ascii="Times New Roman" w:hAnsi="Times New Roman" w:eastAsia="仿宋_GB2312" w:cs="Times New Roman"/>
          <w:color w:val="auto"/>
          <w:sz w:val="32"/>
          <w:szCs w:val="32"/>
          <w:lang w:val="en-US" w:eastAsia="zh-CN"/>
        </w:rPr>
        <w:t>关部门，充分利用信息化技术，</w:t>
      </w:r>
      <w:r>
        <w:rPr>
          <w:rFonts w:hint="default" w:ascii="Times New Roman" w:hAnsi="Times New Roman" w:eastAsia="仿宋_GB2312" w:cs="Times New Roman"/>
          <w:i w:val="0"/>
          <w:caps w:val="0"/>
          <w:color w:val="auto"/>
          <w:spacing w:val="0"/>
          <w:sz w:val="32"/>
          <w:szCs w:val="32"/>
          <w:lang w:val="en-US" w:eastAsia="zh-CN"/>
        </w:rPr>
        <w:t>采用大数据对比分析、卫片检查、信息公示核查以及无人机航拍等手段，</w:t>
      </w:r>
      <w:r>
        <w:rPr>
          <w:rFonts w:hint="default" w:ascii="Times New Roman" w:hAnsi="Times New Roman" w:eastAsia="仿宋_GB2312" w:cs="Times New Roman"/>
          <w:color w:val="auto"/>
          <w:sz w:val="32"/>
          <w:szCs w:val="32"/>
          <w:lang w:val="en-US" w:eastAsia="zh-CN"/>
        </w:rPr>
        <w:t>每年定期开展绿色矿山实地抽查核查，核查比例不低于</w:t>
      </w:r>
      <w:r>
        <w:rPr>
          <w:rFonts w:hint="eastAsia"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lang w:val="en-US" w:eastAsia="zh-CN"/>
        </w:rPr>
        <w:t>0%。</w:t>
      </w:r>
    </w:p>
    <w:p>
      <w:pPr>
        <w:pageBreakBefore w:val="0"/>
        <w:widowControl w:val="0"/>
        <w:kinsoku/>
        <w:wordWrap/>
        <w:overflowPunct/>
        <w:topLinePunct w:val="0"/>
        <w:autoSpaceDE/>
        <w:autoSpaceDN/>
        <w:bidi w:val="0"/>
        <w:adjustRightInd w:val="0"/>
        <w:snapToGrid/>
        <w:spacing w:line="240" w:lineRule="auto"/>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二）经实地核查发现不符合绿色矿山建设标准但能够限期整改的，明确整改期限及措施要求，整改期限原则上不超过六个月，期满完成整改经复核满足绿色矿山建设标准的，可保留名录。经复核超期未完成整改、整改不满足绿色矿山建设标准的，按程序移出各级绿色矿山名录。</w:t>
      </w:r>
    </w:p>
    <w:p>
      <w:pPr>
        <w:pageBreakBefore w:val="0"/>
        <w:widowControl w:val="0"/>
        <w:kinsoku/>
        <w:wordWrap/>
        <w:overflowPunct/>
        <w:topLinePunct w:val="0"/>
        <w:autoSpaceDE/>
        <w:autoSpaceDN/>
        <w:bidi w:val="0"/>
        <w:adjustRightInd w:val="0"/>
        <w:snapToGrid/>
        <w:spacing w:line="240" w:lineRule="auto"/>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（三）发现绿色矿山存在以下问题之一的，移出绿色矿山名录。</w:t>
      </w:r>
    </w:p>
    <w:p>
      <w:pPr>
        <w:pageBreakBefore w:val="0"/>
        <w:widowControl w:val="0"/>
        <w:kinsoku/>
        <w:wordWrap/>
        <w:overflowPunct/>
        <w:topLinePunct w:val="0"/>
        <w:autoSpaceDE/>
        <w:autoSpaceDN/>
        <w:bidi w:val="0"/>
        <w:adjustRightInd w:val="0"/>
        <w:snapToGrid/>
        <w:spacing w:line="240" w:lineRule="auto"/>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olor w:val="auto"/>
          <w:sz w:val="32"/>
          <w:szCs w:val="32"/>
        </w:rPr>
        <w:t>《采矿许可证》</w:t>
      </w:r>
      <w:r>
        <w:rPr>
          <w:rFonts w:hint="eastAsia" w:ascii="Times New Roman" w:hAnsi="Times New Roman" w:eastAsia="仿宋_GB2312"/>
          <w:color w:val="auto"/>
          <w:sz w:val="32"/>
          <w:szCs w:val="32"/>
          <w:lang w:eastAsia="zh-CN"/>
        </w:rPr>
        <w:t>《安全生产许可证》</w:t>
      </w:r>
      <w:r>
        <w:rPr>
          <w:rFonts w:hint="default" w:ascii="Times New Roman" w:hAnsi="Times New Roman" w:eastAsia="仿宋_GB2312"/>
          <w:color w:val="auto"/>
          <w:sz w:val="32"/>
          <w:szCs w:val="32"/>
        </w:rPr>
        <w:t>《营业执照》</w:t>
      </w:r>
      <w:r>
        <w:rPr>
          <w:rFonts w:hint="default" w:ascii="Times New Roman" w:hAnsi="Times New Roman" w:eastAsia="仿宋_GB2312" w:cs="Times New Roman"/>
          <w:color w:val="auto"/>
          <w:sz w:val="32"/>
          <w:szCs w:val="32"/>
          <w:lang w:val="en-US" w:eastAsia="zh-CN"/>
        </w:rPr>
        <w:t>证照不齐、过期未及时延续或被吊销的；</w:t>
      </w:r>
    </w:p>
    <w:p>
      <w:pPr>
        <w:pageBreakBefore w:val="0"/>
        <w:widowControl w:val="0"/>
        <w:kinsoku/>
        <w:wordWrap/>
        <w:overflowPunct/>
        <w:topLinePunct w:val="0"/>
        <w:autoSpaceDE/>
        <w:autoSpaceDN/>
        <w:bidi w:val="0"/>
        <w:adjustRightInd w:val="0"/>
        <w:snapToGrid/>
        <w:spacing w:line="240" w:lineRule="auto"/>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i w:val="0"/>
          <w:caps w:val="0"/>
          <w:color w:val="auto"/>
          <w:spacing w:val="0"/>
          <w:sz w:val="32"/>
          <w:szCs w:val="32"/>
          <w:lang w:val="en-US" w:eastAsia="zh-CN"/>
        </w:rPr>
        <w:t>受到行政处罚</w:t>
      </w:r>
      <w:r>
        <w:rPr>
          <w:rFonts w:hint="eastAsia" w:ascii="Times New Roman" w:hAnsi="Times New Roman" w:eastAsia="仿宋_GB2312" w:cs="Times New Roman"/>
          <w:i w:val="0"/>
          <w:caps w:val="0"/>
          <w:color w:val="auto"/>
          <w:spacing w:val="0"/>
          <w:sz w:val="32"/>
          <w:szCs w:val="32"/>
          <w:lang w:val="en-US" w:eastAsia="zh-CN"/>
        </w:rPr>
        <w:t>后在履行期限内未执行到位的</w:t>
      </w:r>
      <w:r>
        <w:rPr>
          <w:rFonts w:hint="default" w:ascii="Times New Roman" w:hAnsi="Times New Roman" w:eastAsia="仿宋_GB2312" w:cs="Times New Roman"/>
          <w:i w:val="0"/>
          <w:caps w:val="0"/>
          <w:color w:val="auto"/>
          <w:spacing w:val="0"/>
          <w:sz w:val="32"/>
          <w:szCs w:val="32"/>
          <w:lang w:val="en-US" w:eastAsia="zh-CN"/>
        </w:rPr>
        <w:t>；</w:t>
      </w:r>
    </w:p>
    <w:p>
      <w:pPr>
        <w:pageBreakBefore w:val="0"/>
        <w:widowControl w:val="0"/>
        <w:kinsoku/>
        <w:wordWrap/>
        <w:overflowPunct/>
        <w:topLinePunct w:val="0"/>
        <w:autoSpaceDE/>
        <w:autoSpaceDN/>
        <w:bidi w:val="0"/>
        <w:adjustRightInd w:val="0"/>
        <w:snapToGrid/>
        <w:spacing w:line="240" w:lineRule="auto"/>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lang w:val="en-US" w:eastAsia="zh-CN"/>
        </w:rPr>
        <w:t>.关闭、</w:t>
      </w:r>
      <w:r>
        <w:rPr>
          <w:rFonts w:hint="eastAsia" w:ascii="Times New Roman" w:hAnsi="Times New Roman" w:eastAsia="仿宋_GB2312" w:cs="Times New Roman"/>
          <w:i w:val="0"/>
          <w:caps w:val="0"/>
          <w:color w:val="auto"/>
          <w:spacing w:val="0"/>
          <w:sz w:val="32"/>
          <w:szCs w:val="32"/>
          <w:lang w:val="en-US" w:eastAsia="zh-CN"/>
        </w:rPr>
        <w:t>因企业自身原因</w:t>
      </w:r>
      <w:r>
        <w:rPr>
          <w:rFonts w:hint="default" w:ascii="Times New Roman" w:hAnsi="Times New Roman" w:eastAsia="仿宋_GB2312" w:cs="Times New Roman"/>
          <w:color w:val="auto"/>
          <w:sz w:val="32"/>
          <w:szCs w:val="32"/>
          <w:lang w:val="en-US" w:eastAsia="zh-CN"/>
        </w:rPr>
        <w:t>未正常生产运营的；</w:t>
      </w:r>
    </w:p>
    <w:p>
      <w:pPr>
        <w:pageBreakBefore w:val="0"/>
        <w:widowControl w:val="0"/>
        <w:kinsoku/>
        <w:wordWrap/>
        <w:overflowPunct/>
        <w:topLinePunct w:val="0"/>
        <w:autoSpaceDE/>
        <w:autoSpaceDN/>
        <w:bidi w:val="0"/>
        <w:adjustRightInd w:val="0"/>
        <w:snapToGrid/>
        <w:spacing w:line="240" w:lineRule="auto"/>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lang w:val="en-US" w:eastAsia="zh-CN"/>
        </w:rPr>
        <w:t>.违法开采特别是越界开采、擅自改变开采方式的；</w:t>
      </w:r>
    </w:p>
    <w:p>
      <w:pPr>
        <w:pageBreakBefore w:val="0"/>
        <w:widowControl w:val="0"/>
        <w:kinsoku/>
        <w:wordWrap/>
        <w:overflowPunct/>
        <w:topLinePunct w:val="0"/>
        <w:autoSpaceDE/>
        <w:autoSpaceDN/>
        <w:bidi w:val="0"/>
        <w:adjustRightInd w:val="0"/>
        <w:snapToGrid/>
        <w:spacing w:line="240" w:lineRule="auto"/>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lang w:val="en-US" w:eastAsia="zh-CN"/>
        </w:rPr>
        <w:t>.发生</w:t>
      </w:r>
      <w:r>
        <w:rPr>
          <w:rFonts w:hint="eastAsia" w:ascii="Times New Roman" w:hAnsi="Times New Roman" w:eastAsia="仿宋_GB2312" w:cs="Times New Roman"/>
          <w:color w:val="auto"/>
          <w:sz w:val="32"/>
          <w:szCs w:val="32"/>
          <w:lang w:val="en-US" w:eastAsia="zh-CN"/>
        </w:rPr>
        <w:t>较大及以上</w:t>
      </w:r>
      <w:r>
        <w:rPr>
          <w:rFonts w:hint="default" w:ascii="Times New Roman" w:hAnsi="Times New Roman" w:eastAsia="仿宋_GB2312" w:cs="Times New Roman"/>
          <w:color w:val="auto"/>
          <w:sz w:val="32"/>
          <w:szCs w:val="32"/>
          <w:lang w:val="en-US" w:eastAsia="zh-CN"/>
        </w:rPr>
        <w:t>安全</w:t>
      </w:r>
      <w:r>
        <w:rPr>
          <w:rFonts w:hint="eastAsia" w:ascii="Times New Roman" w:hAnsi="Times New Roman" w:eastAsia="仿宋_GB2312" w:cs="Times New Roman"/>
          <w:color w:val="auto"/>
          <w:sz w:val="32"/>
          <w:szCs w:val="32"/>
          <w:lang w:val="en-US" w:eastAsia="zh-CN"/>
        </w:rPr>
        <w:t>生产事故或环境事件</w:t>
      </w:r>
      <w:r>
        <w:rPr>
          <w:rFonts w:hint="default" w:ascii="Times New Roman" w:hAnsi="Times New Roman" w:eastAsia="仿宋_GB2312" w:cs="Times New Roman"/>
          <w:color w:val="auto"/>
          <w:sz w:val="32"/>
          <w:szCs w:val="32"/>
          <w:lang w:val="en-US" w:eastAsia="zh-CN"/>
        </w:rPr>
        <w:t>的</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olor w:val="auto"/>
          <w:sz w:val="32"/>
          <w:szCs w:val="32"/>
        </w:rPr>
        <w:t>发生土壤和地下水严重污染的</w:t>
      </w:r>
      <w:r>
        <w:rPr>
          <w:rFonts w:hint="default" w:ascii="Times New Roman" w:hAnsi="Times New Roman" w:eastAsia="仿宋_GB2312" w:cs="Times New Roman"/>
          <w:color w:val="auto"/>
          <w:sz w:val="32"/>
          <w:szCs w:val="32"/>
          <w:lang w:val="en-US" w:eastAsia="zh-CN"/>
        </w:rPr>
        <w:t>；</w:t>
      </w:r>
    </w:p>
    <w:p>
      <w:pPr>
        <w:pageBreakBefore w:val="0"/>
        <w:widowControl w:val="0"/>
        <w:kinsoku/>
        <w:wordWrap/>
        <w:overflowPunct/>
        <w:topLinePunct w:val="0"/>
        <w:autoSpaceDE/>
        <w:autoSpaceDN/>
        <w:bidi w:val="0"/>
        <w:adjustRightInd w:val="0"/>
        <w:snapToGrid/>
        <w:spacing w:line="240" w:lineRule="auto"/>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6.未落实国土空间规划和用途管制的；</w:t>
      </w:r>
    </w:p>
    <w:p>
      <w:pPr>
        <w:pageBreakBefore w:val="0"/>
        <w:widowControl w:val="0"/>
        <w:kinsoku/>
        <w:wordWrap/>
        <w:overflowPunct/>
        <w:topLinePunct w:val="0"/>
        <w:autoSpaceDE/>
        <w:autoSpaceDN/>
        <w:bidi w:val="0"/>
        <w:adjustRightInd w:val="0"/>
        <w:snapToGrid/>
        <w:spacing w:line="240" w:lineRule="auto"/>
        <w:ind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cs="Times New Roman"/>
          <w:color w:val="auto"/>
          <w:sz w:val="32"/>
          <w:szCs w:val="32"/>
          <w:lang w:val="en-US" w:eastAsia="zh-CN"/>
        </w:rPr>
        <w:t>7.</w:t>
      </w:r>
      <w:r>
        <w:rPr>
          <w:rFonts w:hint="eastAsia" w:ascii="Times New Roman" w:hAnsi="Times New Roman" w:eastAsia="仿宋_GB2312"/>
          <w:color w:val="auto"/>
          <w:sz w:val="32"/>
          <w:szCs w:val="32"/>
        </w:rPr>
        <w:t>未落实</w:t>
      </w:r>
      <w:r>
        <w:rPr>
          <w:rFonts w:hint="eastAsia" w:ascii="Times New Roman" w:hAnsi="Times New Roman" w:eastAsia="仿宋_GB2312"/>
          <w:color w:val="auto"/>
          <w:sz w:val="32"/>
          <w:szCs w:val="32"/>
          <w:lang w:eastAsia="zh-CN"/>
        </w:rPr>
        <w:t>生态环境分区管控、</w:t>
      </w:r>
      <w:r>
        <w:rPr>
          <w:rFonts w:hint="eastAsia" w:ascii="Times New Roman" w:hAnsi="Times New Roman" w:eastAsia="仿宋_GB2312"/>
          <w:color w:val="auto"/>
          <w:sz w:val="32"/>
          <w:szCs w:val="32"/>
        </w:rPr>
        <w:t>环境影响评价、排污许可等相关制度要求，且未按期整改到位的；</w:t>
      </w:r>
    </w:p>
    <w:p>
      <w:pPr>
        <w:pageBreakBefore w:val="0"/>
        <w:widowControl w:val="0"/>
        <w:kinsoku/>
        <w:wordWrap/>
        <w:overflowPunct/>
        <w:topLinePunct w:val="0"/>
        <w:autoSpaceDE/>
        <w:autoSpaceDN/>
        <w:bidi w:val="0"/>
        <w:adjustRightInd w:val="0"/>
        <w:snapToGrid/>
        <w:spacing w:line="240" w:lineRule="auto"/>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olor w:val="auto"/>
          <w:sz w:val="32"/>
          <w:szCs w:val="32"/>
          <w:lang w:val="en-US" w:eastAsia="zh-CN"/>
        </w:rPr>
        <w:t>8.</w:t>
      </w:r>
      <w:r>
        <w:rPr>
          <w:rFonts w:hint="eastAsia" w:ascii="Times New Roman" w:hAnsi="Times New Roman" w:eastAsia="仿宋_GB2312"/>
          <w:color w:val="auto"/>
          <w:sz w:val="32"/>
          <w:szCs w:val="32"/>
        </w:rPr>
        <w:t>未按要求定期开展尾矿库污染隐患排查的或尾矿库污染防治设施未按要求建设运行的</w:t>
      </w:r>
      <w:r>
        <w:rPr>
          <w:rFonts w:hint="eastAsia" w:ascii="Times New Roman" w:hAnsi="Times New Roman" w:eastAsia="仿宋_GB2312"/>
          <w:color w:val="auto"/>
          <w:sz w:val="32"/>
          <w:szCs w:val="32"/>
          <w:lang w:eastAsia="zh-CN"/>
        </w:rPr>
        <w:t>；</w:t>
      </w:r>
    </w:p>
    <w:p>
      <w:pPr>
        <w:pageBreakBefore w:val="0"/>
        <w:widowControl w:val="0"/>
        <w:kinsoku/>
        <w:wordWrap/>
        <w:overflowPunct/>
        <w:topLinePunct w:val="0"/>
        <w:autoSpaceDE/>
        <w:autoSpaceDN/>
        <w:bidi w:val="0"/>
        <w:adjustRightInd w:val="0"/>
        <w:snapToGrid/>
        <w:spacing w:line="240" w:lineRule="auto"/>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olor w:val="auto"/>
          <w:sz w:val="32"/>
          <w:szCs w:val="32"/>
          <w:lang w:val="en-US" w:eastAsia="zh-CN"/>
        </w:rPr>
        <w:t>9.</w:t>
      </w:r>
      <w:r>
        <w:rPr>
          <w:rFonts w:hint="default" w:ascii="Times New Roman" w:hAnsi="Times New Roman" w:eastAsia="仿宋_GB2312" w:cs="Times New Roman"/>
          <w:color w:val="auto"/>
          <w:sz w:val="32"/>
          <w:szCs w:val="32"/>
          <w:lang w:val="en-US" w:eastAsia="zh-CN"/>
        </w:rPr>
        <w:t>采矿权人被列入矿业权人勘查开采信息公示异常名录的；</w:t>
      </w:r>
    </w:p>
    <w:p>
      <w:pPr>
        <w:pageBreakBefore w:val="0"/>
        <w:widowControl w:val="0"/>
        <w:kinsoku/>
        <w:wordWrap/>
        <w:overflowPunct/>
        <w:topLinePunct w:val="0"/>
        <w:autoSpaceDE/>
        <w:autoSpaceDN/>
        <w:bidi w:val="0"/>
        <w:adjustRightInd w:val="0"/>
        <w:snapToGrid/>
        <w:spacing w:line="240" w:lineRule="auto"/>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10</w:t>
      </w:r>
      <w:r>
        <w:rPr>
          <w:rFonts w:hint="default"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矿产资源开发利用水平被划定为落后档次的；</w:t>
      </w:r>
    </w:p>
    <w:p>
      <w:pPr>
        <w:pageBreakBefore w:val="0"/>
        <w:widowControl w:val="0"/>
        <w:kinsoku/>
        <w:wordWrap/>
        <w:overflowPunct/>
        <w:topLinePunct w:val="0"/>
        <w:autoSpaceDE/>
        <w:autoSpaceDN/>
        <w:bidi w:val="0"/>
        <w:adjustRightInd w:val="0"/>
        <w:snapToGrid/>
        <w:spacing w:line="240" w:lineRule="auto"/>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11</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olor w:val="auto"/>
          <w:sz w:val="32"/>
          <w:szCs w:val="32"/>
        </w:rPr>
        <w:t>被中央环保督察、巡视审计、全国人大常委会执法检查等作为典型案例通报或纳入各类警示片的</w:t>
      </w:r>
      <w:r>
        <w:rPr>
          <w:rFonts w:hint="default" w:ascii="Times New Roman" w:hAnsi="Times New Roman" w:eastAsia="仿宋_GB2312" w:cs="Times New Roman"/>
          <w:color w:val="auto"/>
          <w:sz w:val="32"/>
          <w:szCs w:val="32"/>
          <w:lang w:val="en-US" w:eastAsia="zh-CN"/>
        </w:rPr>
        <w:t>；</w:t>
      </w:r>
    </w:p>
    <w:p>
      <w:pPr>
        <w:pageBreakBefore w:val="0"/>
        <w:widowControl w:val="0"/>
        <w:kinsoku/>
        <w:wordWrap/>
        <w:overflowPunct/>
        <w:topLinePunct w:val="0"/>
        <w:autoSpaceDE/>
        <w:autoSpaceDN/>
        <w:bidi w:val="0"/>
        <w:adjustRightInd w:val="0"/>
        <w:snapToGrid/>
        <w:spacing w:line="240" w:lineRule="auto"/>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12</w:t>
      </w:r>
      <w:r>
        <w:rPr>
          <w:rFonts w:hint="default" w:ascii="Times New Roman" w:hAnsi="Times New Roman" w:eastAsia="仿宋_GB2312" w:cs="Times New Roman"/>
          <w:color w:val="auto"/>
          <w:sz w:val="32"/>
          <w:szCs w:val="32"/>
          <w:lang w:val="en-US" w:eastAsia="zh-CN"/>
        </w:rPr>
        <w:t>.发生突发事件，</w:t>
      </w:r>
      <w:r>
        <w:rPr>
          <w:rFonts w:hint="eastAsia" w:ascii="Times New Roman" w:hAnsi="Times New Roman" w:eastAsia="仿宋_GB2312" w:cs="Times New Roman"/>
          <w:i w:val="0"/>
          <w:caps w:val="0"/>
          <w:color w:val="auto"/>
          <w:spacing w:val="0"/>
          <w:sz w:val="32"/>
          <w:szCs w:val="32"/>
          <w:lang w:val="en-US" w:eastAsia="zh-CN"/>
        </w:rPr>
        <w:t>因企业违法违规</w:t>
      </w:r>
      <w:r>
        <w:rPr>
          <w:rFonts w:hint="default" w:ascii="Times New Roman" w:hAnsi="Times New Roman" w:eastAsia="仿宋_GB2312" w:cs="Times New Roman"/>
          <w:color w:val="auto"/>
          <w:sz w:val="32"/>
          <w:szCs w:val="32"/>
          <w:lang w:val="en-US" w:eastAsia="zh-CN"/>
        </w:rPr>
        <w:t>在全国门户类网站、平台引发负面舆情的；</w:t>
      </w:r>
    </w:p>
    <w:p>
      <w:pPr>
        <w:pageBreakBefore w:val="0"/>
        <w:widowControl w:val="0"/>
        <w:kinsoku/>
        <w:wordWrap/>
        <w:overflowPunct/>
        <w:topLinePunct w:val="0"/>
        <w:autoSpaceDE/>
        <w:autoSpaceDN/>
        <w:bidi w:val="0"/>
        <w:adjustRightInd w:val="0"/>
        <w:snapToGrid/>
        <w:spacing w:line="240" w:lineRule="auto"/>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13</w:t>
      </w:r>
      <w:r>
        <w:rPr>
          <w:rFonts w:hint="default" w:ascii="Times New Roman" w:hAnsi="Times New Roman" w:eastAsia="仿宋_GB2312" w:cs="Times New Roman"/>
          <w:color w:val="auto"/>
          <w:sz w:val="32"/>
          <w:szCs w:val="32"/>
          <w:lang w:val="en-US" w:eastAsia="zh-CN"/>
        </w:rPr>
        <w:t>.弄虚作假通过绿色矿山评估的；</w:t>
      </w:r>
    </w:p>
    <w:p>
      <w:pPr>
        <w:pageBreakBefore w:val="0"/>
        <w:widowControl w:val="0"/>
        <w:kinsoku/>
        <w:wordWrap/>
        <w:overflowPunct/>
        <w:topLinePunct w:val="0"/>
        <w:autoSpaceDE/>
        <w:autoSpaceDN/>
        <w:bidi w:val="0"/>
        <w:adjustRightInd w:val="0"/>
        <w:snapToGrid/>
        <w:spacing w:line="240" w:lineRule="auto"/>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14.</w:t>
      </w:r>
      <w:r>
        <w:rPr>
          <w:rFonts w:hint="default" w:ascii="Times New Roman" w:hAnsi="Times New Roman" w:eastAsia="仿宋_GB2312" w:cs="Times New Roman"/>
          <w:color w:val="auto"/>
          <w:sz w:val="32"/>
          <w:szCs w:val="32"/>
          <w:lang w:val="en-US" w:eastAsia="zh-CN"/>
        </w:rPr>
        <w:t>其他违法违规行为不宜继续列入名录的。</w:t>
      </w:r>
    </w:p>
    <w:p>
      <w:pPr>
        <w:pageBreakBefore w:val="0"/>
        <w:widowControl w:val="0"/>
        <w:kinsoku/>
        <w:wordWrap/>
        <w:overflowPunct/>
        <w:topLinePunct w:val="0"/>
        <w:autoSpaceDE/>
        <w:autoSpaceDN/>
        <w:bidi w:val="0"/>
        <w:adjustRightInd w:val="0"/>
        <w:snapToGrid/>
        <w:spacing w:line="240" w:lineRule="auto"/>
        <w:ind w:firstLine="640" w:firstLineChars="200"/>
        <w:textAlignment w:val="auto"/>
        <w:rPr>
          <w:rFonts w:hint="eastAsia" w:ascii="Times New Roman" w:hAnsi="Times New Roman" w:eastAsia="仿宋_GB2312"/>
          <w:color w:val="auto"/>
          <w:sz w:val="32"/>
          <w:szCs w:val="32"/>
          <w:lang w:val="en-US" w:eastAsia="zh-CN"/>
        </w:rPr>
      </w:pPr>
      <w:r>
        <w:rPr>
          <w:rFonts w:hint="default" w:ascii="Times New Roman" w:hAnsi="Times New Roman" w:eastAsia="仿宋_GB2312" w:cs="Times New Roman"/>
          <w:color w:val="auto"/>
          <w:sz w:val="32"/>
          <w:szCs w:val="32"/>
          <w:lang w:val="en-US" w:eastAsia="zh-CN"/>
        </w:rPr>
        <w:t>（四）被移出全国绿色矿山名录的矿山企业，3年内不得申报国家级绿色矿山。各地可根据实际情况，明确不得申报省级绿色矿山的年限要求。</w:t>
      </w:r>
      <w:r>
        <w:rPr>
          <w:rFonts w:hint="eastAsia" w:ascii="Times New Roman" w:hAnsi="Times New Roman" w:eastAsia="仿宋_GB2312" w:cs="Times New Roman"/>
          <w:color w:val="auto"/>
          <w:sz w:val="32"/>
          <w:szCs w:val="32"/>
          <w:lang w:val="en-US" w:eastAsia="zh-CN"/>
        </w:rPr>
        <w:t>期满后，按照绿色矿山标准要求、评选流程重新申报。</w:t>
      </w:r>
    </w:p>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Arial Unicode MS"/>
    <w:panose1 w:val="03000502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pPr>
                      <w:pStyle w:val="3"/>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trackRevisions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0MjYyZjNmNTc4ZjM3NGNiNTc4MWE5Zjc3ODA1YzUifQ=="/>
  </w:docVars>
  <w:rsids>
    <w:rsidRoot w:val="00000000"/>
    <w:rsid w:val="0B7A52F4"/>
    <w:rsid w:val="1DFF0FD8"/>
    <w:rsid w:val="2FF75DEF"/>
    <w:rsid w:val="3EAB0813"/>
    <w:rsid w:val="3EE3E7CD"/>
    <w:rsid w:val="3F5E7B73"/>
    <w:rsid w:val="3FBE5D23"/>
    <w:rsid w:val="4B692845"/>
    <w:rsid w:val="5BD462C2"/>
    <w:rsid w:val="5D7EA438"/>
    <w:rsid w:val="5EFA7CCD"/>
    <w:rsid w:val="61D90242"/>
    <w:rsid w:val="6FDB700B"/>
    <w:rsid w:val="75ED5D32"/>
    <w:rsid w:val="78FE481A"/>
    <w:rsid w:val="7AFF551A"/>
    <w:rsid w:val="7D2BDE1B"/>
    <w:rsid w:val="7D97EE8E"/>
    <w:rsid w:val="7FF9B516"/>
    <w:rsid w:val="87BF3E20"/>
    <w:rsid w:val="8CE3016F"/>
    <w:rsid w:val="B62F3C99"/>
    <w:rsid w:val="BA7B23C6"/>
    <w:rsid w:val="C47B1187"/>
    <w:rsid w:val="C79F814C"/>
    <w:rsid w:val="CD3EDDE9"/>
    <w:rsid w:val="DFEF5BD4"/>
    <w:rsid w:val="DFFCCCAF"/>
    <w:rsid w:val="ECBB9EEF"/>
    <w:rsid w:val="EEF6DF70"/>
    <w:rsid w:val="F38D895D"/>
    <w:rsid w:val="F5FE2A68"/>
    <w:rsid w:val="F77E5F01"/>
    <w:rsid w:val="F7CE0793"/>
    <w:rsid w:val="F9CF8CB2"/>
    <w:rsid w:val="FAF41D82"/>
    <w:rsid w:val="FB7E255A"/>
    <w:rsid w:val="FBFB7E07"/>
    <w:rsid w:val="FBFBA483"/>
    <w:rsid w:val="FDD7A529"/>
    <w:rsid w:val="FFD7E1D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4"/>
    <w:next w:val="1"/>
    <w:unhideWhenUsed/>
    <w:qFormat/>
    <w:uiPriority w:val="0"/>
    <w:pPr>
      <w:keepNext/>
      <w:keepLines/>
      <w:widowControl w:val="0"/>
      <w:adjustRightInd w:val="0"/>
      <w:snapToGrid w:val="0"/>
      <w:spacing w:before="50" w:beforeLines="50" w:after="50" w:afterLines="50" w:line="360" w:lineRule="auto"/>
      <w:ind w:firstLine="0" w:firstLineChars="0"/>
      <w:jc w:val="center"/>
      <w:outlineLvl w:val="3"/>
    </w:pPr>
    <w:rPr>
      <w:rFonts w:ascii="Times New Roman" w:hAnsi="Times New Roman" w:eastAsia="宋体" w:cs="Times New Roman"/>
      <w:b/>
      <w:bCs/>
      <w:kern w:val="2"/>
      <w:sz w:val="30"/>
      <w:szCs w:val="28"/>
      <w:lang w:val="en-US" w:eastAsia="zh-CN" w:bidi="ar-SA"/>
    </w:rPr>
  </w:style>
  <w:style w:type="character" w:default="1" w:styleId="6">
    <w:name w:val="Default Paragraph Font"/>
    <w:semiHidden/>
    <w:uiPriority w:val="0"/>
  </w:style>
  <w:style w:type="table" w:default="1" w:styleId="5">
    <w:name w:val="Normal Table"/>
    <w:semiHidden/>
    <w:uiPriority w:val="0"/>
    <w:tblPr>
      <w:tblStyle w:val="5"/>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rFonts w:eastAsia="宋体"/>
      <w:sz w:val="2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56</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2014-11-01T04:08:00Z</dcterms:created>
  <dc:creator>Administrator</dc:creator>
  <cp:lastModifiedBy>Lenovo</cp:lastModifiedBy>
  <dcterms:modified xsi:type="dcterms:W3CDTF">2024-04-18T06:39:51Z</dcterms:modified>
  <dc:title>附件2</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D5283B4AC8A94853838FF942A91A7A28_13</vt:lpwstr>
  </property>
</Properties>
</file>